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page" w:tblpX="575" w:tblpY="553"/>
        <w:tblW w:w="11645" w:type="dxa"/>
        <w:tblLook w:val="04A0" w:firstRow="1" w:lastRow="0" w:firstColumn="1" w:lastColumn="0" w:noHBand="0" w:noVBand="1"/>
      </w:tblPr>
      <w:tblGrid>
        <w:gridCol w:w="4233"/>
        <w:gridCol w:w="4291"/>
        <w:gridCol w:w="3121"/>
      </w:tblGrid>
      <w:tr w:rsidR="003816C2">
        <w:tc>
          <w:tcPr>
            <w:tcW w:w="11645" w:type="dxa"/>
            <w:gridSpan w:val="3"/>
            <w:shd w:val="clear" w:color="auto" w:fill="4F81BD" w:themeFill="accent1"/>
          </w:tcPr>
          <w:p w:rsidR="003816C2" w:rsidRPr="00B343A8" w:rsidRDefault="003816C2" w:rsidP="003816C2">
            <w:pPr>
              <w:jc w:val="center"/>
              <w:rPr>
                <w:b/>
                <w:color w:val="FFFF00"/>
                <w:sz w:val="28"/>
                <w:szCs w:val="28"/>
              </w:rPr>
            </w:pPr>
            <w:bookmarkStart w:id="0" w:name="_GoBack"/>
            <w:bookmarkEnd w:id="0"/>
            <w:r w:rsidRPr="00B343A8">
              <w:rPr>
                <w:b/>
                <w:color w:val="FFFF00"/>
                <w:sz w:val="28"/>
                <w:szCs w:val="28"/>
              </w:rPr>
              <w:t>Stage 1 Desired Results</w:t>
            </w:r>
          </w:p>
        </w:tc>
      </w:tr>
      <w:tr w:rsidR="003816C2">
        <w:tc>
          <w:tcPr>
            <w:tcW w:w="4233" w:type="dxa"/>
            <w:vMerge w:val="restart"/>
          </w:tcPr>
          <w:p w:rsidR="008C199D" w:rsidRDefault="003816C2" w:rsidP="003816C2">
            <w:pPr>
              <w:tabs>
                <w:tab w:val="right" w:pos="3960"/>
              </w:tabs>
            </w:pPr>
            <w:r>
              <w:t>CCSS-Mathematics Standards</w:t>
            </w:r>
          </w:p>
          <w:p w:rsidR="00BB72F7" w:rsidRDefault="008C199D" w:rsidP="003816C2">
            <w:pPr>
              <w:tabs>
                <w:tab w:val="right" w:pos="3960"/>
              </w:tabs>
            </w:pPr>
            <w:r>
              <w:t xml:space="preserve">                 Primary Focus Standards</w:t>
            </w:r>
          </w:p>
          <w:p w:rsidR="00BB72F7" w:rsidRPr="004F447B" w:rsidRDefault="00BB72F7" w:rsidP="00BB72F7">
            <w:pPr>
              <w:tabs>
                <w:tab w:val="right" w:pos="3960"/>
              </w:tabs>
              <w:rPr>
                <w:color w:val="FF0000"/>
              </w:rPr>
            </w:pPr>
            <w:r w:rsidRPr="004F447B">
              <w:rPr>
                <w:color w:val="FF0000"/>
              </w:rPr>
              <w:t>KCC.3</w:t>
            </w:r>
            <w:r>
              <w:rPr>
                <w:color w:val="FF0000"/>
              </w:rPr>
              <w:t xml:space="preserve"> </w:t>
            </w:r>
            <w:r>
              <w:rPr>
                <w:rFonts w:ascii="Helvetica" w:hAnsi="Helvetica" w:cs="Helvetica"/>
                <w:color w:val="141413"/>
                <w:sz w:val="16"/>
                <w:szCs w:val="16"/>
              </w:rPr>
              <w:t>Write numbers from 0 to 20. Represent a number of objects with a written numeral 0-20 (with 0 representing a count of no objects).</w:t>
            </w:r>
          </w:p>
          <w:p w:rsidR="00BB72F7" w:rsidRDefault="00BB72F7" w:rsidP="00BB72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6"/>
                <w:szCs w:val="16"/>
              </w:rPr>
            </w:pPr>
            <w:r w:rsidRPr="004F447B">
              <w:rPr>
                <w:color w:val="FF0000"/>
              </w:rPr>
              <w:t>KCC.4</w:t>
            </w:r>
            <w:r>
              <w:rPr>
                <w:color w:val="FF0000"/>
              </w:rPr>
              <w:t xml:space="preserve"> </w:t>
            </w:r>
            <w:r>
              <w:rPr>
                <w:rFonts w:ascii="Helvetica" w:hAnsi="Helvetica" w:cs="Helvetica"/>
                <w:color w:val="141413"/>
                <w:sz w:val="16"/>
                <w:szCs w:val="16"/>
              </w:rPr>
              <w:t>Understand the relationship between numbers and quantities; connect counting to cardinality.</w:t>
            </w:r>
          </w:p>
          <w:p w:rsidR="00BB72F7" w:rsidRDefault="00BB72F7" w:rsidP="00BB72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6"/>
                <w:szCs w:val="16"/>
              </w:rPr>
            </w:pPr>
            <w:r>
              <w:rPr>
                <w:rFonts w:ascii="Calibri" w:hAnsi="Calibri" w:cs="Calibri"/>
                <w:color w:val="141413"/>
                <w:sz w:val="20"/>
                <w:szCs w:val="20"/>
              </w:rPr>
              <w:t>a.</w:t>
            </w:r>
            <w:r>
              <w:rPr>
                <w:rFonts w:ascii="Calibri" w:hAnsi="Calibri" w:cs="Calibri"/>
                <w:color w:val="141413"/>
                <w:sz w:val="20"/>
                <w:szCs w:val="20"/>
              </w:rPr>
              <w:tab/>
            </w:r>
            <w:r>
              <w:rPr>
                <w:rFonts w:ascii="Helvetica" w:hAnsi="Helvetica" w:cs="Helvetica"/>
                <w:color w:val="141413"/>
                <w:sz w:val="16"/>
                <w:szCs w:val="16"/>
              </w:rPr>
              <w:t>When counting objects, say the number names in the standard order, pairing each object with one and only one number name and each number name with one and only one object.</w:t>
            </w:r>
          </w:p>
          <w:p w:rsidR="0025625C" w:rsidRDefault="00BB72F7" w:rsidP="00BB72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6"/>
                <w:szCs w:val="16"/>
              </w:rPr>
            </w:pPr>
            <w:r>
              <w:rPr>
                <w:rFonts w:ascii="Calibri" w:hAnsi="Calibri" w:cs="Calibri"/>
                <w:color w:val="141413"/>
                <w:sz w:val="20"/>
                <w:szCs w:val="20"/>
              </w:rPr>
              <w:t>b.</w:t>
            </w:r>
            <w:r>
              <w:rPr>
                <w:rFonts w:ascii="Calibri" w:hAnsi="Calibri" w:cs="Calibri"/>
                <w:color w:val="141413"/>
                <w:sz w:val="20"/>
                <w:szCs w:val="20"/>
              </w:rPr>
              <w:tab/>
            </w:r>
            <w:r>
              <w:rPr>
                <w:rFonts w:ascii="Helvetica" w:hAnsi="Helvetica" w:cs="Helvetica"/>
                <w:color w:val="141413"/>
                <w:sz w:val="16"/>
                <w:szCs w:val="16"/>
              </w:rPr>
              <w:t>Understand that the last number name said tells the number of objects counted. The number of objects is the same regardless of their arrangement or the order in which they were counted.</w:t>
            </w:r>
          </w:p>
          <w:p w:rsidR="0025625C" w:rsidRDefault="0025625C" w:rsidP="00BB72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6"/>
                <w:szCs w:val="16"/>
              </w:rPr>
            </w:pPr>
            <w:r>
              <w:rPr>
                <w:rFonts w:ascii="Helvetica" w:hAnsi="Helvetica" w:cs="Helvetica"/>
                <w:color w:val="141413"/>
                <w:sz w:val="16"/>
                <w:szCs w:val="16"/>
              </w:rPr>
              <w:t>c.          Understand that each successive number name</w:t>
            </w:r>
          </w:p>
          <w:p w:rsidR="00BB72F7" w:rsidRDefault="0025625C" w:rsidP="00BB72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41413"/>
                <w:sz w:val="16"/>
                <w:szCs w:val="16"/>
              </w:rPr>
            </w:pPr>
            <w:proofErr w:type="gramStart"/>
            <w:r>
              <w:rPr>
                <w:rFonts w:ascii="Helvetica" w:hAnsi="Helvetica" w:cs="Helvetica"/>
                <w:color w:val="141413"/>
                <w:sz w:val="16"/>
                <w:szCs w:val="16"/>
              </w:rPr>
              <w:t>refers</w:t>
            </w:r>
            <w:proofErr w:type="gramEnd"/>
            <w:r>
              <w:rPr>
                <w:rFonts w:ascii="Helvetica" w:hAnsi="Helvetica" w:cs="Helvetica"/>
                <w:color w:val="141413"/>
                <w:sz w:val="16"/>
                <w:szCs w:val="16"/>
              </w:rPr>
              <w:t xml:space="preserve"> to a quantity that is one larger.</w:t>
            </w:r>
          </w:p>
          <w:p w:rsidR="00BB72F7" w:rsidRPr="004F447B" w:rsidRDefault="00BB72F7" w:rsidP="00BB72F7">
            <w:pPr>
              <w:tabs>
                <w:tab w:val="right" w:pos="3960"/>
              </w:tabs>
              <w:rPr>
                <w:rFonts w:ascii="Helvetica" w:hAnsi="Helvetica" w:cs="Helvetica"/>
                <w:color w:val="141413"/>
                <w:sz w:val="9"/>
                <w:szCs w:val="9"/>
              </w:rPr>
            </w:pPr>
            <w:r w:rsidRPr="004F447B">
              <w:rPr>
                <w:color w:val="FF0000"/>
              </w:rPr>
              <w:t>KCC.6</w:t>
            </w:r>
            <w:r>
              <w:rPr>
                <w:color w:val="FF0000"/>
              </w:rPr>
              <w:t xml:space="preserve"> </w:t>
            </w:r>
            <w:r>
              <w:rPr>
                <w:rFonts w:ascii="Helvetica" w:hAnsi="Helvetica" w:cs="Helvetica"/>
                <w:color w:val="141413"/>
                <w:sz w:val="16"/>
                <w:szCs w:val="16"/>
              </w:rPr>
              <w:t>Identify whether the number of objects in one group is greater than, less than, or equal to the number of objects in another group, e.g., by using matching and counting strategies.</w:t>
            </w:r>
            <w:r>
              <w:rPr>
                <w:rFonts w:ascii="Helvetica" w:hAnsi="Helvetica" w:cs="Helvetica"/>
                <w:color w:val="141413"/>
                <w:sz w:val="9"/>
                <w:szCs w:val="9"/>
              </w:rPr>
              <w:t>1</w:t>
            </w:r>
          </w:p>
          <w:p w:rsidR="003816C2" w:rsidRDefault="00BB72F7" w:rsidP="003816C2">
            <w:pPr>
              <w:tabs>
                <w:tab w:val="right" w:pos="3960"/>
              </w:tabs>
            </w:pPr>
            <w:r>
              <w:t>---------------------------------------------------------</w:t>
            </w:r>
            <w:r w:rsidR="003816C2">
              <w:tab/>
            </w:r>
          </w:p>
          <w:p w:rsidR="008C199D" w:rsidRDefault="008C199D" w:rsidP="003816C2">
            <w:pPr>
              <w:tabs>
                <w:tab w:val="right" w:pos="3960"/>
              </w:tabs>
            </w:pPr>
            <w:r>
              <w:t xml:space="preserve">         Secondary Embedded Standards</w:t>
            </w:r>
          </w:p>
          <w:p w:rsidR="004F447B" w:rsidRDefault="004F447B" w:rsidP="003816C2">
            <w:pPr>
              <w:tabs>
                <w:tab w:val="right" w:pos="3960"/>
              </w:tabs>
            </w:pPr>
            <w:r>
              <w:t xml:space="preserve">KCC.1 </w:t>
            </w:r>
            <w:r>
              <w:rPr>
                <w:rFonts w:ascii="Helvetica" w:hAnsi="Helvetica" w:cs="Helvetica"/>
                <w:color w:val="141413"/>
                <w:sz w:val="16"/>
                <w:szCs w:val="16"/>
              </w:rPr>
              <w:t>Count to 100 by ones and by tens.</w:t>
            </w:r>
          </w:p>
          <w:p w:rsidR="004F447B" w:rsidRDefault="004F447B" w:rsidP="003816C2">
            <w:pPr>
              <w:tabs>
                <w:tab w:val="right" w:pos="3960"/>
              </w:tabs>
            </w:pPr>
            <w:r>
              <w:t xml:space="preserve">KCC.2 </w:t>
            </w:r>
            <w:r>
              <w:rPr>
                <w:rFonts w:ascii="Helvetica" w:hAnsi="Helvetica" w:cs="Helvetica"/>
                <w:color w:val="141413"/>
                <w:sz w:val="16"/>
                <w:szCs w:val="16"/>
              </w:rPr>
              <w:t>Count forward beginning from a given number within the known sequence (instead of having to begin at 1).</w:t>
            </w:r>
          </w:p>
          <w:p w:rsidR="003760E1" w:rsidRPr="00C7150A" w:rsidRDefault="004F447B" w:rsidP="00C7150A">
            <w:pPr>
              <w:tabs>
                <w:tab w:val="right" w:pos="3960"/>
              </w:tabs>
            </w:pPr>
            <w:r>
              <w:t>KCC.5</w:t>
            </w:r>
            <w:r>
              <w:rPr>
                <w:rFonts w:ascii="Helvetica" w:hAnsi="Helvetica" w:cs="Helvetica"/>
                <w:color w:val="141413"/>
                <w:sz w:val="16"/>
                <w:szCs w:val="16"/>
              </w:rPr>
              <w:t>.</w:t>
            </w:r>
            <w:r w:rsidR="003760E1">
              <w:rPr>
                <w:rFonts w:ascii="Helvetica" w:hAnsi="Helvetica" w:cs="Helvetica"/>
                <w:color w:val="141413"/>
                <w:sz w:val="16"/>
                <w:szCs w:val="16"/>
              </w:rPr>
              <w:t xml:space="preserve"> Count to answer “how many?” questions about as many as 20 things arranged in a line, a rectangular array, or a circle, or as many as 10 things in a scattered configuration; given a number from 1–20, count out that many objects.</w:t>
            </w:r>
          </w:p>
          <w:p w:rsidR="004F447B" w:rsidRDefault="004F447B" w:rsidP="003816C2">
            <w:pPr>
              <w:tabs>
                <w:tab w:val="right" w:pos="3960"/>
              </w:tabs>
            </w:pPr>
            <w:r>
              <w:t xml:space="preserve">KCC.7 </w:t>
            </w:r>
            <w:r>
              <w:rPr>
                <w:rFonts w:ascii="Helvetica" w:hAnsi="Helvetica" w:cs="Helvetica"/>
                <w:color w:val="141413"/>
                <w:sz w:val="16"/>
                <w:szCs w:val="16"/>
              </w:rPr>
              <w:t>Compare two numbers between 1 and 10 presented as written numerals.</w:t>
            </w:r>
          </w:p>
          <w:p w:rsidR="003816C2" w:rsidRDefault="004F447B" w:rsidP="003816C2">
            <w:pPr>
              <w:tabs>
                <w:tab w:val="right" w:pos="3960"/>
              </w:tabs>
            </w:pPr>
            <w:r>
              <w:t xml:space="preserve">KMD.3 </w:t>
            </w:r>
            <w:r>
              <w:rPr>
                <w:rFonts w:ascii="Helvetica" w:hAnsi="Helvetica" w:cs="Helvetica"/>
                <w:color w:val="141413"/>
                <w:sz w:val="16"/>
                <w:szCs w:val="16"/>
              </w:rPr>
              <w:t>Classify objects into given categories; count the numbers of objects in each category and sort the categories by count.</w:t>
            </w:r>
            <w:r>
              <w:rPr>
                <w:rFonts w:ascii="Helvetica" w:hAnsi="Helvetica" w:cs="Helvetica"/>
                <w:color w:val="141413"/>
                <w:sz w:val="9"/>
                <w:szCs w:val="9"/>
              </w:rPr>
              <w:t>3</w:t>
            </w:r>
            <w:r>
              <w:t xml:space="preserve"> </w:t>
            </w:r>
          </w:p>
          <w:p w:rsidR="003816C2" w:rsidRDefault="003816C2" w:rsidP="003816C2">
            <w:pPr>
              <w:tabs>
                <w:tab w:val="right" w:pos="3960"/>
              </w:tabs>
            </w:pPr>
          </w:p>
          <w:p w:rsidR="003816C2" w:rsidRDefault="003816C2" w:rsidP="003816C2">
            <w:pPr>
              <w:tabs>
                <w:tab w:val="right" w:pos="3960"/>
              </w:tabs>
            </w:pPr>
          </w:p>
          <w:p w:rsidR="003816C2" w:rsidRDefault="003816C2" w:rsidP="003816C2">
            <w:pPr>
              <w:tabs>
                <w:tab w:val="right" w:pos="3960"/>
              </w:tabs>
            </w:pPr>
          </w:p>
          <w:p w:rsidR="003816C2" w:rsidRDefault="003816C2" w:rsidP="003816C2">
            <w:pPr>
              <w:tabs>
                <w:tab w:val="right" w:pos="3960"/>
              </w:tabs>
            </w:pPr>
          </w:p>
          <w:p w:rsidR="003816C2" w:rsidRDefault="003816C2" w:rsidP="003816C2">
            <w:pPr>
              <w:tabs>
                <w:tab w:val="right" w:pos="3960"/>
              </w:tabs>
            </w:pPr>
          </w:p>
          <w:p w:rsidR="003816C2" w:rsidRDefault="003816C2" w:rsidP="003816C2">
            <w:pPr>
              <w:tabs>
                <w:tab w:val="right" w:pos="3960"/>
              </w:tabs>
            </w:pPr>
          </w:p>
          <w:p w:rsidR="003816C2" w:rsidRDefault="003816C2" w:rsidP="003816C2">
            <w:pPr>
              <w:tabs>
                <w:tab w:val="right" w:pos="3960"/>
              </w:tabs>
            </w:pPr>
          </w:p>
          <w:p w:rsidR="003816C2" w:rsidRDefault="003816C2" w:rsidP="003816C2">
            <w:pPr>
              <w:tabs>
                <w:tab w:val="right" w:pos="3960"/>
              </w:tabs>
            </w:pPr>
          </w:p>
          <w:p w:rsidR="003816C2" w:rsidRDefault="003816C2" w:rsidP="003816C2">
            <w:pPr>
              <w:tabs>
                <w:tab w:val="right" w:pos="3960"/>
              </w:tabs>
            </w:pPr>
          </w:p>
        </w:tc>
        <w:tc>
          <w:tcPr>
            <w:tcW w:w="7412" w:type="dxa"/>
            <w:gridSpan w:val="2"/>
            <w:shd w:val="clear" w:color="auto" w:fill="FF0000"/>
          </w:tcPr>
          <w:p w:rsidR="003816C2" w:rsidRPr="005D00EF" w:rsidRDefault="003816C2" w:rsidP="003816C2">
            <w:pPr>
              <w:tabs>
                <w:tab w:val="left" w:pos="540"/>
                <w:tab w:val="center" w:pos="4284"/>
              </w:tabs>
              <w:jc w:val="center"/>
              <w:rPr>
                <w:b/>
                <w:i/>
              </w:rPr>
            </w:pPr>
            <w:r w:rsidRPr="005D00EF">
              <w:rPr>
                <w:b/>
                <w:i/>
              </w:rPr>
              <w:t>Transfer</w:t>
            </w:r>
          </w:p>
        </w:tc>
      </w:tr>
      <w:tr w:rsidR="003816C2">
        <w:tc>
          <w:tcPr>
            <w:tcW w:w="4233" w:type="dxa"/>
            <w:vMerge/>
          </w:tcPr>
          <w:p w:rsidR="003816C2" w:rsidRDefault="003816C2" w:rsidP="003816C2"/>
        </w:tc>
        <w:tc>
          <w:tcPr>
            <w:tcW w:w="7412" w:type="dxa"/>
            <w:gridSpan w:val="2"/>
            <w:tcBorders>
              <w:bottom w:val="single" w:sz="4" w:space="0" w:color="000000" w:themeColor="text1"/>
            </w:tcBorders>
          </w:tcPr>
          <w:p w:rsidR="003816C2" w:rsidRDefault="003816C2" w:rsidP="003816C2">
            <w:pPr>
              <w:tabs>
                <w:tab w:val="right" w:pos="8388"/>
              </w:tabs>
            </w:pPr>
            <w:r w:rsidRPr="005D00EF">
              <w:rPr>
                <w:i/>
              </w:rPr>
              <w:t>Students will be able to independently use their learning to…</w:t>
            </w:r>
            <w:r>
              <w:rPr>
                <w:i/>
              </w:rPr>
              <w:tab/>
            </w:r>
          </w:p>
          <w:p w:rsidR="003816C2" w:rsidRDefault="00C9480D" w:rsidP="003816C2">
            <w:pPr>
              <w:tabs>
                <w:tab w:val="right" w:pos="8388"/>
              </w:tabs>
            </w:pPr>
            <w:r>
              <w:t>*Count, represent, order and compare numerals 0-5.</w:t>
            </w:r>
          </w:p>
          <w:p w:rsidR="003816C2" w:rsidRPr="001518D3" w:rsidRDefault="003816C2" w:rsidP="003816C2">
            <w:pPr>
              <w:tabs>
                <w:tab w:val="right" w:pos="8388"/>
              </w:tabs>
            </w:pPr>
          </w:p>
        </w:tc>
      </w:tr>
      <w:tr w:rsidR="003816C2">
        <w:tc>
          <w:tcPr>
            <w:tcW w:w="4233" w:type="dxa"/>
            <w:vMerge/>
          </w:tcPr>
          <w:p w:rsidR="003816C2" w:rsidRDefault="003816C2" w:rsidP="003816C2"/>
        </w:tc>
        <w:tc>
          <w:tcPr>
            <w:tcW w:w="7412" w:type="dxa"/>
            <w:gridSpan w:val="2"/>
            <w:shd w:val="clear" w:color="auto" w:fill="3366FF"/>
          </w:tcPr>
          <w:p w:rsidR="003816C2" w:rsidRPr="005D00EF" w:rsidRDefault="003816C2" w:rsidP="003816C2">
            <w:pPr>
              <w:jc w:val="center"/>
              <w:rPr>
                <w:b/>
                <w:i/>
              </w:rPr>
            </w:pPr>
            <w:r w:rsidRPr="005D00EF">
              <w:rPr>
                <w:b/>
                <w:i/>
              </w:rPr>
              <w:t>Meaning</w:t>
            </w:r>
          </w:p>
        </w:tc>
      </w:tr>
      <w:tr w:rsidR="003816C2">
        <w:tc>
          <w:tcPr>
            <w:tcW w:w="4233" w:type="dxa"/>
            <w:vMerge/>
          </w:tcPr>
          <w:p w:rsidR="003816C2" w:rsidRDefault="003816C2" w:rsidP="003816C2"/>
        </w:tc>
        <w:tc>
          <w:tcPr>
            <w:tcW w:w="4291" w:type="dxa"/>
            <w:tcBorders>
              <w:bottom w:val="single" w:sz="4" w:space="0" w:color="000000" w:themeColor="text1"/>
            </w:tcBorders>
          </w:tcPr>
          <w:p w:rsidR="003816C2" w:rsidRDefault="003816C2" w:rsidP="003816C2">
            <w:pPr>
              <w:tabs>
                <w:tab w:val="right" w:pos="4075"/>
              </w:tabs>
            </w:pPr>
            <w:r>
              <w:t>UNDERSTANDINGS</w:t>
            </w:r>
            <w:r>
              <w:tab/>
            </w:r>
          </w:p>
          <w:p w:rsidR="003816C2" w:rsidRDefault="003816C2" w:rsidP="003816C2">
            <w:r w:rsidRPr="005D00EF">
              <w:rPr>
                <w:i/>
              </w:rPr>
              <w:t>Students will understand that…</w:t>
            </w:r>
          </w:p>
          <w:p w:rsidR="00DD7BA2" w:rsidRDefault="00DD7BA2" w:rsidP="00DD7BA2">
            <w:pPr>
              <w:pStyle w:val="ListParagraph"/>
              <w:numPr>
                <w:ilvl w:val="0"/>
                <w:numId w:val="1"/>
              </w:numPr>
            </w:pPr>
            <w:r>
              <w:t>Counting is the strategy for finding the answer to ‘how many’.</w:t>
            </w:r>
          </w:p>
          <w:p w:rsidR="003816C2" w:rsidRDefault="001B1454" w:rsidP="00DD7BA2">
            <w:pPr>
              <w:pStyle w:val="ListParagraph"/>
              <w:numPr>
                <w:ilvl w:val="0"/>
                <w:numId w:val="1"/>
              </w:numPr>
            </w:pPr>
            <w:r>
              <w:t>The last number said when counting tells the total number of objects</w:t>
            </w:r>
          </w:p>
          <w:p w:rsidR="001B1454" w:rsidRDefault="001B1454" w:rsidP="001B1454">
            <w:pPr>
              <w:pStyle w:val="ListParagraph"/>
              <w:numPr>
                <w:ilvl w:val="0"/>
                <w:numId w:val="1"/>
              </w:numPr>
            </w:pPr>
            <w:r>
              <w:t>Quantity is not determined by arrangement or size.</w:t>
            </w:r>
          </w:p>
          <w:p w:rsidR="00755031" w:rsidRDefault="001B1454" w:rsidP="001B1454">
            <w:pPr>
              <w:pStyle w:val="ListParagraph"/>
              <w:numPr>
                <w:ilvl w:val="0"/>
                <w:numId w:val="1"/>
              </w:numPr>
            </w:pPr>
            <w:r>
              <w:t>Numeral</w:t>
            </w:r>
            <w:r w:rsidR="00EC5577">
              <w:t>s</w:t>
            </w:r>
            <w:r>
              <w:t xml:space="preserve"> are symbols we read and write to communicate quantity.</w:t>
            </w:r>
          </w:p>
          <w:p w:rsidR="001B1454" w:rsidRDefault="00755031" w:rsidP="00755031">
            <w:pPr>
              <w:pStyle w:val="ListParagraph"/>
              <w:numPr>
                <w:ilvl w:val="0"/>
                <w:numId w:val="1"/>
              </w:numPr>
            </w:pPr>
            <w:r>
              <w:t>Numerals and quantities can be ordered and compared.</w:t>
            </w:r>
          </w:p>
          <w:p w:rsidR="0025625C" w:rsidRDefault="00EC5577" w:rsidP="001B1454">
            <w:pPr>
              <w:pStyle w:val="ListParagraph"/>
              <w:numPr>
                <w:ilvl w:val="0"/>
                <w:numId w:val="1"/>
              </w:numPr>
            </w:pPr>
            <w:r>
              <w:t>Objects in two groups can be compared to identify which group is greater</w:t>
            </w:r>
            <w:r w:rsidR="003760E1">
              <w:t xml:space="preserve"> than, less than or equal to the other.</w:t>
            </w:r>
            <w:r>
              <w:t xml:space="preserve"> </w:t>
            </w:r>
          </w:p>
          <w:p w:rsidR="000D2EC7" w:rsidRDefault="0025625C" w:rsidP="001B1454">
            <w:pPr>
              <w:pStyle w:val="ListParagraph"/>
              <w:numPr>
                <w:ilvl w:val="0"/>
                <w:numId w:val="1"/>
              </w:numPr>
            </w:pPr>
            <w:r>
              <w:t>Counting on means one more.</w:t>
            </w:r>
          </w:p>
          <w:p w:rsidR="003816C2" w:rsidRDefault="003816C2" w:rsidP="003816C2"/>
          <w:p w:rsidR="003816C2" w:rsidRDefault="003816C2" w:rsidP="003816C2"/>
          <w:p w:rsidR="003816C2" w:rsidRDefault="003816C2" w:rsidP="003816C2"/>
          <w:p w:rsidR="003816C2" w:rsidRDefault="003816C2" w:rsidP="003816C2"/>
          <w:p w:rsidR="003816C2" w:rsidRPr="001518D3" w:rsidRDefault="003816C2" w:rsidP="003816C2"/>
        </w:tc>
        <w:tc>
          <w:tcPr>
            <w:tcW w:w="3121" w:type="dxa"/>
            <w:tcBorders>
              <w:bottom w:val="single" w:sz="4" w:space="0" w:color="000000" w:themeColor="text1"/>
            </w:tcBorders>
          </w:tcPr>
          <w:p w:rsidR="003816C2" w:rsidRDefault="003816C2" w:rsidP="003816C2">
            <w:pPr>
              <w:tabs>
                <w:tab w:val="right" w:pos="4016"/>
              </w:tabs>
            </w:pPr>
            <w:r>
              <w:t>ESSENTIAL QUESTIONS</w:t>
            </w:r>
            <w:r>
              <w:tab/>
            </w:r>
          </w:p>
          <w:p w:rsidR="00DD7BA2" w:rsidRDefault="00DD7BA2" w:rsidP="00DD7BA2">
            <w:pPr>
              <w:pStyle w:val="ListParagraph"/>
              <w:numPr>
                <w:ilvl w:val="0"/>
                <w:numId w:val="1"/>
              </w:numPr>
              <w:tabs>
                <w:tab w:val="right" w:pos="4016"/>
              </w:tabs>
            </w:pPr>
            <w:r>
              <w:t>Why do we count?</w:t>
            </w:r>
          </w:p>
          <w:p w:rsidR="00DD7BA2" w:rsidRDefault="00DD7BA2" w:rsidP="00DD7BA2">
            <w:pPr>
              <w:pStyle w:val="ListParagraph"/>
              <w:numPr>
                <w:ilvl w:val="0"/>
                <w:numId w:val="1"/>
              </w:numPr>
              <w:tabs>
                <w:tab w:val="right" w:pos="4016"/>
              </w:tabs>
            </w:pPr>
            <w:r>
              <w:t>What does counting tell us?</w:t>
            </w:r>
          </w:p>
          <w:p w:rsidR="00DD7BA2" w:rsidRDefault="00DD7BA2" w:rsidP="00DD7BA2">
            <w:pPr>
              <w:pStyle w:val="ListParagraph"/>
              <w:numPr>
                <w:ilvl w:val="0"/>
                <w:numId w:val="1"/>
              </w:numPr>
              <w:tabs>
                <w:tab w:val="right" w:pos="4016"/>
              </w:tabs>
            </w:pPr>
            <w:r>
              <w:t>Why are numbers important?</w:t>
            </w:r>
          </w:p>
          <w:p w:rsidR="00DD7BA2" w:rsidRDefault="00DD7BA2" w:rsidP="00DD7BA2">
            <w:pPr>
              <w:pStyle w:val="ListParagraph"/>
              <w:numPr>
                <w:ilvl w:val="0"/>
                <w:numId w:val="1"/>
              </w:numPr>
              <w:tabs>
                <w:tab w:val="right" w:pos="4016"/>
              </w:tabs>
            </w:pPr>
            <w:r>
              <w:t>How many ways</w:t>
            </w:r>
            <w:r w:rsidR="001B1454">
              <w:t xml:space="preserve"> can a single quantity be shown?</w:t>
            </w:r>
          </w:p>
          <w:p w:rsidR="000D2EC7" w:rsidRDefault="003760E1" w:rsidP="00DD7BA2">
            <w:pPr>
              <w:pStyle w:val="ListParagraph"/>
              <w:numPr>
                <w:ilvl w:val="0"/>
                <w:numId w:val="1"/>
              </w:numPr>
              <w:tabs>
                <w:tab w:val="right" w:pos="4016"/>
              </w:tabs>
            </w:pPr>
            <w:r>
              <w:t>How can two quantities be related?</w:t>
            </w:r>
          </w:p>
          <w:p w:rsidR="000D2EC7" w:rsidRDefault="000D2EC7" w:rsidP="00DD7BA2">
            <w:pPr>
              <w:pStyle w:val="ListParagraph"/>
              <w:numPr>
                <w:ilvl w:val="0"/>
                <w:numId w:val="1"/>
              </w:numPr>
              <w:tabs>
                <w:tab w:val="right" w:pos="4016"/>
              </w:tabs>
            </w:pPr>
            <w:r>
              <w:t>How can we order numbers?</w:t>
            </w:r>
          </w:p>
          <w:p w:rsidR="00BB72F7" w:rsidRDefault="00BB72F7" w:rsidP="000D2EC7">
            <w:pPr>
              <w:tabs>
                <w:tab w:val="right" w:pos="4016"/>
              </w:tabs>
              <w:ind w:left="360"/>
            </w:pPr>
          </w:p>
          <w:p w:rsidR="00BB72F7" w:rsidRDefault="00BB72F7" w:rsidP="00BB72F7">
            <w:pPr>
              <w:pStyle w:val="ListParagraph"/>
              <w:tabs>
                <w:tab w:val="right" w:pos="4016"/>
              </w:tabs>
            </w:pPr>
          </w:p>
          <w:p w:rsidR="003816C2" w:rsidRDefault="003816C2" w:rsidP="00BB72F7">
            <w:pPr>
              <w:pStyle w:val="ListParagraph"/>
              <w:tabs>
                <w:tab w:val="right" w:pos="4016"/>
              </w:tabs>
            </w:pPr>
          </w:p>
        </w:tc>
      </w:tr>
      <w:tr w:rsidR="003816C2">
        <w:tc>
          <w:tcPr>
            <w:tcW w:w="4233" w:type="dxa"/>
            <w:vMerge/>
          </w:tcPr>
          <w:p w:rsidR="003816C2" w:rsidRDefault="003816C2" w:rsidP="003816C2"/>
        </w:tc>
        <w:tc>
          <w:tcPr>
            <w:tcW w:w="7412" w:type="dxa"/>
            <w:gridSpan w:val="2"/>
            <w:tcBorders>
              <w:bottom w:val="single" w:sz="4" w:space="0" w:color="000000" w:themeColor="text1"/>
            </w:tcBorders>
            <w:shd w:val="clear" w:color="auto" w:fill="008000"/>
          </w:tcPr>
          <w:p w:rsidR="003816C2" w:rsidRPr="005D00EF" w:rsidRDefault="003816C2" w:rsidP="003816C2">
            <w:pPr>
              <w:jc w:val="center"/>
              <w:rPr>
                <w:b/>
                <w:i/>
              </w:rPr>
            </w:pPr>
            <w:r w:rsidRPr="005D00EF">
              <w:rPr>
                <w:b/>
                <w:i/>
              </w:rPr>
              <w:t>Acquisition</w:t>
            </w:r>
          </w:p>
        </w:tc>
      </w:tr>
      <w:tr w:rsidR="003816C2">
        <w:tc>
          <w:tcPr>
            <w:tcW w:w="4233" w:type="dxa"/>
            <w:vMerge/>
            <w:tcBorders>
              <w:bottom w:val="single" w:sz="4" w:space="0" w:color="000000" w:themeColor="text1"/>
            </w:tcBorders>
          </w:tcPr>
          <w:p w:rsidR="003816C2" w:rsidRDefault="003816C2" w:rsidP="003816C2"/>
        </w:tc>
        <w:tc>
          <w:tcPr>
            <w:tcW w:w="4291" w:type="dxa"/>
            <w:tcBorders>
              <w:bottom w:val="single" w:sz="4" w:space="0" w:color="000000" w:themeColor="text1"/>
            </w:tcBorders>
          </w:tcPr>
          <w:p w:rsidR="003816C2" w:rsidRPr="005F3796" w:rsidRDefault="003816C2" w:rsidP="003816C2">
            <w:pPr>
              <w:tabs>
                <w:tab w:val="right" w:pos="4075"/>
              </w:tabs>
              <w:rPr>
                <w:i/>
              </w:rPr>
            </w:pPr>
            <w:r w:rsidRPr="005D00EF">
              <w:rPr>
                <w:i/>
              </w:rPr>
              <w:t>Students will know…</w:t>
            </w:r>
            <w:r>
              <w:rPr>
                <w:i/>
              </w:rPr>
              <w:tab/>
            </w:r>
          </w:p>
          <w:p w:rsidR="004D48DA" w:rsidRDefault="004D48DA" w:rsidP="00E67F88">
            <w:pPr>
              <w:pStyle w:val="ListParagraph"/>
              <w:numPr>
                <w:ilvl w:val="0"/>
                <w:numId w:val="3"/>
              </w:numPr>
              <w:tabs>
                <w:tab w:val="right" w:pos="4075"/>
              </w:tabs>
            </w:pPr>
            <w:r>
              <w:t>Numeral n</w:t>
            </w:r>
            <w:r w:rsidR="00E67F88">
              <w:t>ames</w:t>
            </w:r>
            <w:r w:rsidR="005F3796">
              <w:t>.</w:t>
            </w:r>
          </w:p>
          <w:p w:rsidR="00E67F88" w:rsidRDefault="008E00AA" w:rsidP="00E67F88">
            <w:pPr>
              <w:pStyle w:val="ListParagraph"/>
              <w:numPr>
                <w:ilvl w:val="0"/>
                <w:numId w:val="3"/>
              </w:numPr>
              <w:tabs>
                <w:tab w:val="right" w:pos="4075"/>
              </w:tabs>
            </w:pPr>
            <w:r>
              <w:t>How to represent numerals (0-5) in written form</w:t>
            </w:r>
            <w:r w:rsidR="005F3796">
              <w:t>.</w:t>
            </w:r>
          </w:p>
          <w:p w:rsidR="004D48DA" w:rsidRDefault="00E67F88" w:rsidP="00E67F88">
            <w:pPr>
              <w:pStyle w:val="ListParagraph"/>
              <w:numPr>
                <w:ilvl w:val="0"/>
                <w:numId w:val="3"/>
              </w:numPr>
              <w:tabs>
                <w:tab w:val="right" w:pos="4075"/>
              </w:tabs>
            </w:pPr>
            <w:r>
              <w:t>Key vocabulary:</w:t>
            </w:r>
            <w:r w:rsidR="005362D9">
              <w:t xml:space="preserve"> count, 0, 1, 2, 3, 4, 5, more/greater, less/fewer</w:t>
            </w:r>
            <w:r w:rsidR="004D48DA">
              <w:t>, equal</w:t>
            </w:r>
            <w:r w:rsidR="005F3796">
              <w:t>.</w:t>
            </w:r>
          </w:p>
          <w:p w:rsidR="004D48DA" w:rsidRDefault="004D48DA" w:rsidP="00E67F88">
            <w:pPr>
              <w:pStyle w:val="ListParagraph"/>
              <w:numPr>
                <w:ilvl w:val="0"/>
                <w:numId w:val="3"/>
              </w:numPr>
              <w:tabs>
                <w:tab w:val="right" w:pos="4075"/>
              </w:tabs>
            </w:pPr>
            <w:r>
              <w:t>One to one correspondence</w:t>
            </w:r>
            <w:r w:rsidR="005F3796">
              <w:t>.</w:t>
            </w:r>
          </w:p>
          <w:p w:rsidR="004D48DA" w:rsidRDefault="004D48DA" w:rsidP="00E67F88">
            <w:pPr>
              <w:pStyle w:val="ListParagraph"/>
              <w:numPr>
                <w:ilvl w:val="0"/>
                <w:numId w:val="3"/>
              </w:numPr>
              <w:tabs>
                <w:tab w:val="right" w:pos="4075"/>
              </w:tabs>
            </w:pPr>
            <w:r>
              <w:t>Arrangement of objects does not change the quantity.</w:t>
            </w:r>
          </w:p>
          <w:p w:rsidR="00057CD3" w:rsidRDefault="008E00AA" w:rsidP="00E67F88">
            <w:pPr>
              <w:pStyle w:val="ListParagraph"/>
              <w:numPr>
                <w:ilvl w:val="0"/>
                <w:numId w:val="3"/>
              </w:numPr>
              <w:tabs>
                <w:tab w:val="right" w:pos="4075"/>
              </w:tabs>
            </w:pPr>
            <w:r>
              <w:t xml:space="preserve">That each successive number </w:t>
            </w:r>
            <w:r w:rsidR="00FE0A3D">
              <w:t xml:space="preserve">name </w:t>
            </w:r>
            <w:r>
              <w:t>refers to one more</w:t>
            </w:r>
            <w:r w:rsidR="005F3796">
              <w:t>.</w:t>
            </w:r>
          </w:p>
          <w:p w:rsidR="00057CD3" w:rsidRDefault="00057CD3" w:rsidP="00057CD3">
            <w:pPr>
              <w:pStyle w:val="ListParagraph"/>
              <w:numPr>
                <w:ilvl w:val="0"/>
                <w:numId w:val="3"/>
              </w:numPr>
              <w:tabs>
                <w:tab w:val="right" w:pos="4075"/>
              </w:tabs>
            </w:pPr>
            <w:r>
              <w:t>The relationship between numerals and quantities</w:t>
            </w:r>
            <w:r w:rsidR="005F3796">
              <w:t>.</w:t>
            </w:r>
          </w:p>
          <w:p w:rsidR="003816C2" w:rsidRPr="001518D3" w:rsidRDefault="003816C2" w:rsidP="00057CD3">
            <w:pPr>
              <w:pStyle w:val="ListParagraph"/>
              <w:tabs>
                <w:tab w:val="right" w:pos="4075"/>
              </w:tabs>
            </w:pPr>
          </w:p>
        </w:tc>
        <w:tc>
          <w:tcPr>
            <w:tcW w:w="3121" w:type="dxa"/>
            <w:tcBorders>
              <w:bottom w:val="single" w:sz="4" w:space="0" w:color="000000" w:themeColor="text1"/>
            </w:tcBorders>
          </w:tcPr>
          <w:p w:rsidR="00057CD3" w:rsidRDefault="003816C2" w:rsidP="003816C2">
            <w:pPr>
              <w:tabs>
                <w:tab w:val="right" w:pos="4003"/>
              </w:tabs>
            </w:pPr>
            <w:r w:rsidRPr="005D00EF">
              <w:rPr>
                <w:i/>
              </w:rPr>
              <w:t>Students will be skilled at…</w:t>
            </w:r>
            <w:r>
              <w:rPr>
                <w:i/>
              </w:rPr>
              <w:tab/>
            </w:r>
          </w:p>
          <w:p w:rsidR="00057CD3" w:rsidRDefault="00057CD3" w:rsidP="00057CD3">
            <w:pPr>
              <w:pStyle w:val="ListParagraph"/>
              <w:numPr>
                <w:ilvl w:val="0"/>
                <w:numId w:val="4"/>
              </w:numPr>
              <w:tabs>
                <w:tab w:val="right" w:pos="4003"/>
              </w:tabs>
            </w:pPr>
            <w:r>
              <w:t>Verbally Counting</w:t>
            </w:r>
            <w:r w:rsidR="005F3796">
              <w:t>.</w:t>
            </w:r>
          </w:p>
          <w:p w:rsidR="00057CD3" w:rsidRDefault="00057CD3" w:rsidP="00057CD3">
            <w:pPr>
              <w:pStyle w:val="ListParagraph"/>
              <w:numPr>
                <w:ilvl w:val="0"/>
                <w:numId w:val="4"/>
              </w:numPr>
              <w:tabs>
                <w:tab w:val="right" w:pos="4003"/>
              </w:tabs>
            </w:pPr>
            <w:r>
              <w:t>Reading, w</w:t>
            </w:r>
            <w:r w:rsidR="005F3796">
              <w:t>riting, identifying numerals    (0-5).</w:t>
            </w:r>
          </w:p>
          <w:p w:rsidR="00057CD3" w:rsidRDefault="00057CD3" w:rsidP="00057CD3">
            <w:pPr>
              <w:pStyle w:val="ListParagraph"/>
              <w:numPr>
                <w:ilvl w:val="0"/>
                <w:numId w:val="4"/>
              </w:numPr>
              <w:tabs>
                <w:tab w:val="right" w:pos="4003"/>
              </w:tabs>
            </w:pPr>
            <w:r>
              <w:t>Identifying the amount of objects in a set using one to one correspondence</w:t>
            </w:r>
            <w:r w:rsidR="005F3796">
              <w:t>.</w:t>
            </w:r>
          </w:p>
          <w:p w:rsidR="00057CD3" w:rsidRDefault="00057CD3" w:rsidP="00057CD3">
            <w:pPr>
              <w:pStyle w:val="ListParagraph"/>
              <w:numPr>
                <w:ilvl w:val="0"/>
                <w:numId w:val="4"/>
              </w:numPr>
              <w:tabs>
                <w:tab w:val="right" w:pos="4003"/>
              </w:tabs>
            </w:pPr>
            <w:r>
              <w:t>Counting objects in different arrangements</w:t>
            </w:r>
            <w:r w:rsidR="005F3796">
              <w:t>.</w:t>
            </w:r>
          </w:p>
          <w:p w:rsidR="003816C2" w:rsidRDefault="00057CD3" w:rsidP="00057CD3">
            <w:pPr>
              <w:pStyle w:val="ListParagraph"/>
              <w:numPr>
                <w:ilvl w:val="0"/>
                <w:numId w:val="4"/>
              </w:numPr>
              <w:tabs>
                <w:tab w:val="right" w:pos="4003"/>
              </w:tabs>
            </w:pPr>
            <w:r>
              <w:t>Comparing sets of objects by identifying more/greater, less/fewer, equal</w:t>
            </w:r>
            <w:r w:rsidR="005F3796">
              <w:t>.</w:t>
            </w:r>
          </w:p>
          <w:p w:rsidR="003816C2" w:rsidRDefault="003816C2" w:rsidP="003816C2">
            <w:pPr>
              <w:tabs>
                <w:tab w:val="right" w:pos="4003"/>
              </w:tabs>
            </w:pPr>
          </w:p>
          <w:p w:rsidR="003816C2" w:rsidRDefault="003816C2" w:rsidP="003816C2">
            <w:pPr>
              <w:tabs>
                <w:tab w:val="right" w:pos="4003"/>
              </w:tabs>
            </w:pPr>
          </w:p>
          <w:p w:rsidR="003816C2" w:rsidRDefault="003816C2" w:rsidP="003816C2">
            <w:pPr>
              <w:tabs>
                <w:tab w:val="right" w:pos="4003"/>
              </w:tabs>
            </w:pPr>
          </w:p>
          <w:p w:rsidR="003816C2" w:rsidRPr="001518D3" w:rsidRDefault="003816C2" w:rsidP="003816C2">
            <w:pPr>
              <w:tabs>
                <w:tab w:val="right" w:pos="4003"/>
              </w:tabs>
            </w:pPr>
          </w:p>
        </w:tc>
      </w:tr>
      <w:tr w:rsidR="003816C2">
        <w:tc>
          <w:tcPr>
            <w:tcW w:w="11645" w:type="dxa"/>
            <w:gridSpan w:val="3"/>
            <w:tcBorders>
              <w:bottom w:val="single" w:sz="4" w:space="0" w:color="000000" w:themeColor="text1"/>
            </w:tcBorders>
            <w:shd w:val="clear" w:color="auto" w:fill="4F81BD" w:themeFill="accent1"/>
          </w:tcPr>
          <w:p w:rsidR="00E61C19" w:rsidRDefault="00E61C19" w:rsidP="003816C2">
            <w:pPr>
              <w:jc w:val="center"/>
              <w:rPr>
                <w:b/>
                <w:color w:val="FFFF00"/>
                <w:sz w:val="28"/>
                <w:szCs w:val="28"/>
              </w:rPr>
            </w:pPr>
          </w:p>
          <w:p w:rsidR="00E61C19" w:rsidRDefault="00E61C19" w:rsidP="003816C2">
            <w:pPr>
              <w:jc w:val="center"/>
              <w:rPr>
                <w:b/>
                <w:color w:val="FFFF00"/>
                <w:sz w:val="28"/>
                <w:szCs w:val="28"/>
              </w:rPr>
            </w:pPr>
          </w:p>
          <w:p w:rsidR="00E61C19" w:rsidRDefault="00E61C19" w:rsidP="003816C2">
            <w:pPr>
              <w:jc w:val="center"/>
              <w:rPr>
                <w:b/>
                <w:color w:val="FFFF00"/>
                <w:sz w:val="28"/>
                <w:szCs w:val="28"/>
              </w:rPr>
            </w:pPr>
          </w:p>
          <w:p w:rsidR="00E61C19" w:rsidRDefault="00E61C19" w:rsidP="00584C4D">
            <w:pPr>
              <w:rPr>
                <w:b/>
                <w:color w:val="FFFF00"/>
                <w:sz w:val="28"/>
                <w:szCs w:val="28"/>
              </w:rPr>
            </w:pPr>
          </w:p>
          <w:p w:rsidR="00E61C19" w:rsidRDefault="00E61C19" w:rsidP="003816C2">
            <w:pPr>
              <w:jc w:val="center"/>
              <w:rPr>
                <w:b/>
                <w:color w:val="FFFF00"/>
                <w:sz w:val="28"/>
                <w:szCs w:val="28"/>
              </w:rPr>
            </w:pPr>
          </w:p>
          <w:p w:rsidR="003816C2" w:rsidRPr="00C97AA1" w:rsidRDefault="003816C2" w:rsidP="003816C2">
            <w:pPr>
              <w:jc w:val="center"/>
              <w:rPr>
                <w:b/>
                <w:color w:val="FFFF00"/>
                <w:sz w:val="28"/>
                <w:szCs w:val="28"/>
              </w:rPr>
            </w:pPr>
            <w:r w:rsidRPr="00C97AA1">
              <w:rPr>
                <w:b/>
                <w:color w:val="FFFF00"/>
                <w:sz w:val="28"/>
                <w:szCs w:val="28"/>
              </w:rPr>
              <w:t>Stage 2 - Evidence</w:t>
            </w:r>
          </w:p>
        </w:tc>
      </w:tr>
      <w:tr w:rsidR="003816C2">
        <w:tc>
          <w:tcPr>
            <w:tcW w:w="4233" w:type="dxa"/>
            <w:shd w:val="clear" w:color="auto" w:fill="D9D9D9" w:themeFill="background1" w:themeFillShade="D9"/>
          </w:tcPr>
          <w:p w:rsidR="003816C2" w:rsidRPr="005D00EF" w:rsidRDefault="003816C2" w:rsidP="003816C2">
            <w:pPr>
              <w:rPr>
                <w:b/>
              </w:rPr>
            </w:pPr>
            <w:r w:rsidRPr="005D00EF">
              <w:rPr>
                <w:b/>
              </w:rPr>
              <w:lastRenderedPageBreak/>
              <w:t>Evaluative Criteria</w:t>
            </w:r>
          </w:p>
        </w:tc>
        <w:tc>
          <w:tcPr>
            <w:tcW w:w="7412" w:type="dxa"/>
            <w:gridSpan w:val="2"/>
            <w:shd w:val="clear" w:color="auto" w:fill="D9D9D9" w:themeFill="background1" w:themeFillShade="D9"/>
          </w:tcPr>
          <w:p w:rsidR="003816C2" w:rsidRPr="005D00EF" w:rsidRDefault="003816C2" w:rsidP="003816C2">
            <w:pPr>
              <w:rPr>
                <w:b/>
              </w:rPr>
            </w:pPr>
            <w:r w:rsidRPr="005D00EF">
              <w:rPr>
                <w:b/>
              </w:rPr>
              <w:t>Assessment Evidence</w:t>
            </w:r>
          </w:p>
        </w:tc>
      </w:tr>
      <w:tr w:rsidR="003816C2">
        <w:tc>
          <w:tcPr>
            <w:tcW w:w="4233" w:type="dxa"/>
          </w:tcPr>
          <w:p w:rsidR="003816C2" w:rsidRDefault="003816C2" w:rsidP="003816C2"/>
        </w:tc>
        <w:tc>
          <w:tcPr>
            <w:tcW w:w="7412" w:type="dxa"/>
            <w:gridSpan w:val="2"/>
          </w:tcPr>
          <w:p w:rsidR="003816C2" w:rsidRDefault="003816C2" w:rsidP="003816C2">
            <w:pPr>
              <w:tabs>
                <w:tab w:val="right" w:pos="8408"/>
              </w:tabs>
            </w:pPr>
            <w:r>
              <w:t xml:space="preserve">PERFORMANCE </w:t>
            </w:r>
            <w:proofErr w:type="gramStart"/>
            <w:r>
              <w:t>TASK(</w:t>
            </w:r>
            <w:proofErr w:type="gramEnd"/>
            <w:r>
              <w:t>S):</w:t>
            </w:r>
            <w:r>
              <w:tab/>
            </w:r>
          </w:p>
          <w:p w:rsidR="000D2EC7" w:rsidRDefault="000D2EC7" w:rsidP="000D2EC7">
            <w:pPr>
              <w:pStyle w:val="ListParagraph"/>
              <w:numPr>
                <w:ilvl w:val="0"/>
                <w:numId w:val="2"/>
              </w:numPr>
              <w:tabs>
                <w:tab w:val="right" w:pos="8408"/>
              </w:tabs>
            </w:pPr>
            <w:r>
              <w:t>Recognize, represent and write numeral</w:t>
            </w:r>
            <w:r w:rsidR="000E3713">
              <w:t>s</w:t>
            </w:r>
            <w:r>
              <w:t xml:space="preserve"> 0-5.</w:t>
            </w:r>
          </w:p>
          <w:p w:rsidR="00E67F88" w:rsidRDefault="00E67F88" w:rsidP="000D2EC7">
            <w:pPr>
              <w:pStyle w:val="ListParagraph"/>
              <w:numPr>
                <w:ilvl w:val="0"/>
                <w:numId w:val="2"/>
              </w:numPr>
              <w:tabs>
                <w:tab w:val="right" w:pos="8408"/>
              </w:tabs>
            </w:pPr>
            <w:r>
              <w:t>Demonstrates one to one correspondence (0-5)</w:t>
            </w:r>
          </w:p>
          <w:p w:rsidR="00E67F88" w:rsidRDefault="00E67F88" w:rsidP="000D2EC7">
            <w:pPr>
              <w:pStyle w:val="ListParagraph"/>
              <w:numPr>
                <w:ilvl w:val="0"/>
                <w:numId w:val="2"/>
              </w:numPr>
              <w:tabs>
                <w:tab w:val="right" w:pos="8408"/>
              </w:tabs>
            </w:pPr>
            <w:r>
              <w:t>Shows an understanding of cardinality and conservation</w:t>
            </w:r>
          </w:p>
          <w:p w:rsidR="00E67F88" w:rsidRDefault="00E67F88" w:rsidP="000D2EC7">
            <w:pPr>
              <w:pStyle w:val="ListParagraph"/>
              <w:numPr>
                <w:ilvl w:val="0"/>
                <w:numId w:val="2"/>
              </w:numPr>
              <w:tabs>
                <w:tab w:val="right" w:pos="8408"/>
              </w:tabs>
            </w:pPr>
            <w:r>
              <w:t>Knows ‘one more’ for 0-5</w:t>
            </w:r>
          </w:p>
          <w:p w:rsidR="004D48DA" w:rsidRDefault="00E67F88" w:rsidP="004D48DA">
            <w:pPr>
              <w:pStyle w:val="ListParagraph"/>
              <w:numPr>
                <w:ilvl w:val="0"/>
                <w:numId w:val="2"/>
              </w:numPr>
              <w:tabs>
                <w:tab w:val="right" w:pos="8408"/>
              </w:tabs>
            </w:pPr>
            <w:r>
              <w:t>Compares by matching or counting 0-5 objects per set</w:t>
            </w:r>
          </w:p>
          <w:p w:rsidR="004D48DA" w:rsidRDefault="004D48DA" w:rsidP="004D48DA">
            <w:pPr>
              <w:tabs>
                <w:tab w:val="right" w:pos="8408"/>
              </w:tabs>
              <w:ind w:left="360"/>
            </w:pPr>
          </w:p>
          <w:p w:rsidR="003816C2" w:rsidRDefault="003816C2" w:rsidP="006B4549">
            <w:pPr>
              <w:pStyle w:val="ListParagraph"/>
              <w:tabs>
                <w:tab w:val="right" w:pos="8408"/>
              </w:tabs>
            </w:pPr>
          </w:p>
        </w:tc>
      </w:tr>
      <w:tr w:rsidR="003816C2">
        <w:tc>
          <w:tcPr>
            <w:tcW w:w="4233" w:type="dxa"/>
            <w:tcBorders>
              <w:bottom w:val="single" w:sz="4" w:space="0" w:color="000000" w:themeColor="text1"/>
            </w:tcBorders>
          </w:tcPr>
          <w:p w:rsidR="003816C2" w:rsidRDefault="003816C2" w:rsidP="003816C2"/>
        </w:tc>
        <w:tc>
          <w:tcPr>
            <w:tcW w:w="7412" w:type="dxa"/>
            <w:gridSpan w:val="2"/>
            <w:tcBorders>
              <w:bottom w:val="single" w:sz="4" w:space="0" w:color="000000" w:themeColor="text1"/>
            </w:tcBorders>
          </w:tcPr>
          <w:p w:rsidR="003816C2" w:rsidRDefault="003816C2" w:rsidP="003816C2">
            <w:pPr>
              <w:tabs>
                <w:tab w:val="right" w:pos="8421"/>
              </w:tabs>
            </w:pPr>
            <w:r>
              <w:t>OTHER EVIDENCE:</w:t>
            </w:r>
            <w:r>
              <w:tab/>
            </w:r>
          </w:p>
          <w:p w:rsidR="006B4549" w:rsidRDefault="006B4549" w:rsidP="006B4549">
            <w:pPr>
              <w:pStyle w:val="ListParagraph"/>
              <w:numPr>
                <w:ilvl w:val="0"/>
                <w:numId w:val="5"/>
              </w:numPr>
              <w:tabs>
                <w:tab w:val="right" w:pos="8421"/>
              </w:tabs>
            </w:pPr>
            <w:r>
              <w:t>Student work samples</w:t>
            </w:r>
          </w:p>
          <w:p w:rsidR="006B4549" w:rsidRDefault="006B4549" w:rsidP="006B4549">
            <w:pPr>
              <w:pStyle w:val="ListParagraph"/>
              <w:numPr>
                <w:ilvl w:val="0"/>
                <w:numId w:val="5"/>
              </w:numPr>
              <w:tabs>
                <w:tab w:val="right" w:pos="8421"/>
              </w:tabs>
            </w:pPr>
            <w:r>
              <w:t>Teacher/Student conferencing (Anecdotal records)</w:t>
            </w:r>
          </w:p>
          <w:p w:rsidR="006B4549" w:rsidRDefault="006B4549" w:rsidP="006B4549">
            <w:pPr>
              <w:pStyle w:val="ListParagraph"/>
              <w:numPr>
                <w:ilvl w:val="0"/>
                <w:numId w:val="5"/>
              </w:numPr>
              <w:tabs>
                <w:tab w:val="right" w:pos="8421"/>
              </w:tabs>
            </w:pPr>
            <w:r>
              <w:t>Math Workshop/Math Workstations/Math Centers</w:t>
            </w:r>
          </w:p>
          <w:p w:rsidR="00E31B9D" w:rsidRDefault="006B4549" w:rsidP="006B4549">
            <w:pPr>
              <w:pStyle w:val="ListParagraph"/>
              <w:numPr>
                <w:ilvl w:val="0"/>
                <w:numId w:val="5"/>
              </w:numPr>
              <w:tabs>
                <w:tab w:val="right" w:pos="8421"/>
              </w:tabs>
            </w:pPr>
            <w:r>
              <w:t>Homework Tasks</w:t>
            </w:r>
          </w:p>
          <w:p w:rsidR="00E31B9D" w:rsidRDefault="00E31B9D" w:rsidP="006B4549">
            <w:pPr>
              <w:pStyle w:val="ListParagraph"/>
              <w:numPr>
                <w:ilvl w:val="0"/>
                <w:numId w:val="5"/>
              </w:numPr>
              <w:tabs>
                <w:tab w:val="right" w:pos="8421"/>
              </w:tabs>
            </w:pPr>
            <w:r>
              <w:t>Self Reflection</w:t>
            </w:r>
          </w:p>
          <w:p w:rsidR="006B4549" w:rsidRDefault="00E31B9D" w:rsidP="006B4549">
            <w:pPr>
              <w:pStyle w:val="ListParagraph"/>
              <w:numPr>
                <w:ilvl w:val="0"/>
                <w:numId w:val="5"/>
              </w:numPr>
              <w:tabs>
                <w:tab w:val="right" w:pos="8421"/>
              </w:tabs>
            </w:pPr>
            <w:r>
              <w:t>Class Discussion of Essential Questions</w:t>
            </w:r>
          </w:p>
          <w:p w:rsidR="003816C2" w:rsidRDefault="003816C2" w:rsidP="006B4549">
            <w:pPr>
              <w:pStyle w:val="ListParagraph"/>
              <w:tabs>
                <w:tab w:val="right" w:pos="8421"/>
              </w:tabs>
            </w:pPr>
          </w:p>
          <w:p w:rsidR="003816C2" w:rsidRDefault="003816C2" w:rsidP="003816C2">
            <w:pPr>
              <w:tabs>
                <w:tab w:val="right" w:pos="8421"/>
              </w:tabs>
            </w:pPr>
          </w:p>
          <w:p w:rsidR="003816C2" w:rsidRDefault="003816C2" w:rsidP="003816C2">
            <w:pPr>
              <w:tabs>
                <w:tab w:val="right" w:pos="8421"/>
              </w:tabs>
            </w:pPr>
          </w:p>
          <w:p w:rsidR="003816C2" w:rsidRDefault="003816C2" w:rsidP="003816C2">
            <w:pPr>
              <w:tabs>
                <w:tab w:val="right" w:pos="8421"/>
              </w:tabs>
            </w:pPr>
          </w:p>
          <w:p w:rsidR="003816C2" w:rsidRDefault="003816C2" w:rsidP="003816C2">
            <w:pPr>
              <w:tabs>
                <w:tab w:val="right" w:pos="8421"/>
              </w:tabs>
            </w:pPr>
          </w:p>
          <w:p w:rsidR="003816C2" w:rsidRDefault="003816C2" w:rsidP="003816C2">
            <w:pPr>
              <w:tabs>
                <w:tab w:val="right" w:pos="8421"/>
              </w:tabs>
            </w:pPr>
          </w:p>
        </w:tc>
      </w:tr>
      <w:tr w:rsidR="003816C2">
        <w:tc>
          <w:tcPr>
            <w:tcW w:w="11645" w:type="dxa"/>
            <w:gridSpan w:val="3"/>
            <w:shd w:val="clear" w:color="auto" w:fill="4F81BD" w:themeFill="accent1"/>
          </w:tcPr>
          <w:p w:rsidR="003816C2" w:rsidRPr="00C97AA1" w:rsidRDefault="003816C2" w:rsidP="003816C2">
            <w:pPr>
              <w:jc w:val="center"/>
              <w:rPr>
                <w:b/>
                <w:color w:val="FFFF00"/>
                <w:sz w:val="28"/>
                <w:szCs w:val="28"/>
              </w:rPr>
            </w:pPr>
            <w:r w:rsidRPr="00C97AA1">
              <w:rPr>
                <w:b/>
                <w:color w:val="FFFF00"/>
                <w:sz w:val="28"/>
                <w:szCs w:val="28"/>
              </w:rPr>
              <w:t>Stage 3 – Learning Plan</w:t>
            </w:r>
          </w:p>
        </w:tc>
      </w:tr>
      <w:tr w:rsidR="003816C2">
        <w:tc>
          <w:tcPr>
            <w:tcW w:w="11645" w:type="dxa"/>
            <w:gridSpan w:val="3"/>
          </w:tcPr>
          <w:p w:rsidR="00584C4D" w:rsidRDefault="003816C2" w:rsidP="005C18BF">
            <w:pPr>
              <w:jc w:val="center"/>
              <w:rPr>
                <w:i/>
              </w:rPr>
            </w:pPr>
            <w:r w:rsidRPr="005D00EF">
              <w:rPr>
                <w:i/>
              </w:rPr>
              <w:t>Summary of Key Learning Events and Instructio</w:t>
            </w:r>
            <w:r w:rsidR="005C18BF">
              <w:rPr>
                <w:i/>
              </w:rPr>
              <w:t>n</w:t>
            </w:r>
          </w:p>
          <w:p w:rsidR="005C18BF" w:rsidRPr="00584C4D" w:rsidRDefault="00584C4D" w:rsidP="00584C4D">
            <w:pPr>
              <w:rPr>
                <w:b/>
              </w:rPr>
            </w:pPr>
            <w:r>
              <w:rPr>
                <w:b/>
              </w:rPr>
              <w:t>May include but are not limited to:</w:t>
            </w:r>
          </w:p>
          <w:p w:rsidR="005C18BF" w:rsidRPr="00584C4D" w:rsidRDefault="005C18BF" w:rsidP="005C18BF">
            <w:pPr>
              <w:rPr>
                <w:sz w:val="2"/>
              </w:rPr>
            </w:pPr>
          </w:p>
          <w:p w:rsidR="005C18BF" w:rsidRDefault="005C18BF" w:rsidP="005C18BF">
            <w:r w:rsidRPr="00584C4D">
              <w:rPr>
                <w:u w:val="single"/>
              </w:rPr>
              <w:t>Professional Resources</w:t>
            </w:r>
            <w:r>
              <w:t>:</w:t>
            </w:r>
          </w:p>
          <w:p w:rsidR="005C18BF" w:rsidRDefault="005C18BF" w:rsidP="005C18BF">
            <w:r>
              <w:t>Kathy Richardson Developing Number Concept Series</w:t>
            </w:r>
          </w:p>
          <w:p w:rsidR="005C18BF" w:rsidRDefault="005C18BF" w:rsidP="005C18BF">
            <w:r>
              <w:t>Debbie Diller Math Work Stations</w:t>
            </w:r>
          </w:p>
          <w:p w:rsidR="005C18BF" w:rsidRDefault="005C18BF" w:rsidP="005C18BF">
            <w:r>
              <w:t>Marcy Cook Materials</w:t>
            </w:r>
          </w:p>
          <w:p w:rsidR="005C18BF" w:rsidRDefault="005C18BF" w:rsidP="005C18BF">
            <w:r>
              <w:t>Math Literature Counting Books</w:t>
            </w:r>
          </w:p>
          <w:p w:rsidR="005C18BF" w:rsidRPr="005C18BF" w:rsidRDefault="005C18BF" w:rsidP="005C18BF">
            <w:r>
              <w:t xml:space="preserve">Singapore Math </w:t>
            </w:r>
          </w:p>
          <w:p w:rsidR="003816C2" w:rsidRPr="00584C4D" w:rsidRDefault="003816C2" w:rsidP="007F2571">
            <w:pPr>
              <w:rPr>
                <w:sz w:val="2"/>
              </w:rPr>
            </w:pPr>
          </w:p>
          <w:p w:rsidR="006B4549" w:rsidRDefault="006B4549" w:rsidP="004455D1">
            <w:pPr>
              <w:tabs>
                <w:tab w:val="right" w:pos="8408"/>
              </w:tabs>
            </w:pPr>
            <w:r w:rsidRPr="00584C4D">
              <w:rPr>
                <w:u w:val="single"/>
              </w:rPr>
              <w:t>Examples of tasks can be found at the following sites</w:t>
            </w:r>
            <w:r>
              <w:t>:</w:t>
            </w:r>
          </w:p>
          <w:p w:rsidR="003816C2" w:rsidRPr="007F2571" w:rsidRDefault="003816C2" w:rsidP="003816C2">
            <w:pPr>
              <w:rPr>
                <w:sz w:val="6"/>
              </w:rPr>
            </w:pPr>
          </w:p>
          <w:p w:rsidR="006B4549" w:rsidRPr="004D5E74" w:rsidRDefault="00A559A5" w:rsidP="006B4549">
            <w:pPr>
              <w:tabs>
                <w:tab w:val="right" w:pos="8408"/>
              </w:tabs>
              <w:rPr>
                <w:color w:val="FF0000"/>
              </w:rPr>
            </w:pPr>
            <w:hyperlink r:id="rId7" w:history="1">
              <w:r w:rsidR="006B4549" w:rsidRPr="004D5E74">
                <w:rPr>
                  <w:rStyle w:val="Hyperlink"/>
                  <w:color w:val="FF0000"/>
                </w:rPr>
                <w:t>https://www.georgiastandards.org/Common-Core/Common%20Core%20Frameworks/CCGPS_</w:t>
              </w:r>
            </w:hyperlink>
          </w:p>
          <w:p w:rsidR="006B4549" w:rsidRDefault="006B4549" w:rsidP="006B4549">
            <w:pPr>
              <w:tabs>
                <w:tab w:val="right" w:pos="8408"/>
              </w:tabs>
              <w:rPr>
                <w:color w:val="FF0000"/>
              </w:rPr>
            </w:pPr>
            <w:r w:rsidRPr="004D5E74">
              <w:rPr>
                <w:color w:val="FF0000"/>
              </w:rPr>
              <w:t>Math_K_Unit1FrameworkSE.pdf</w:t>
            </w:r>
          </w:p>
          <w:p w:rsidR="006B4549" w:rsidRPr="007F2571" w:rsidRDefault="006B4549" w:rsidP="006B4549">
            <w:pPr>
              <w:tabs>
                <w:tab w:val="right" w:pos="8408"/>
              </w:tabs>
              <w:rPr>
                <w:color w:val="FF0000"/>
                <w:sz w:val="6"/>
              </w:rPr>
            </w:pPr>
          </w:p>
          <w:p w:rsidR="006B4549" w:rsidRPr="004D48DA" w:rsidRDefault="00A559A5" w:rsidP="006B4549">
            <w:pPr>
              <w:tabs>
                <w:tab w:val="right" w:pos="8408"/>
              </w:tabs>
              <w:rPr>
                <w:color w:val="FF0000"/>
              </w:rPr>
            </w:pPr>
            <w:hyperlink r:id="rId8" w:history="1">
              <w:r w:rsidR="006B4549" w:rsidRPr="004D48DA">
                <w:rPr>
                  <w:rStyle w:val="Hyperlink"/>
                  <w:color w:val="FF0000"/>
                </w:rPr>
                <w:t>https://www.dropbox.com/sh/14prjy245l3sacz/1hGcRquZc2/</w:t>
              </w:r>
            </w:hyperlink>
          </w:p>
          <w:p w:rsidR="006B4549" w:rsidRPr="004D48DA" w:rsidRDefault="006B4549" w:rsidP="006B4549">
            <w:pPr>
              <w:tabs>
                <w:tab w:val="right" w:pos="8408"/>
              </w:tabs>
              <w:rPr>
                <w:color w:val="FF0000"/>
              </w:rPr>
            </w:pPr>
            <w:r w:rsidRPr="004D48DA">
              <w:rPr>
                <w:color w:val="FF0000"/>
              </w:rPr>
              <w:t>June%202012%20Unit%20Design%</w:t>
            </w:r>
          </w:p>
          <w:p w:rsidR="007F2571" w:rsidRDefault="006B4549" w:rsidP="006B4549">
            <w:pPr>
              <w:tabs>
                <w:tab w:val="right" w:pos="8408"/>
              </w:tabs>
              <w:rPr>
                <w:color w:val="FF0000"/>
              </w:rPr>
            </w:pPr>
            <w:r w:rsidRPr="004D48DA">
              <w:rPr>
                <w:color w:val="FF0000"/>
              </w:rPr>
              <w:t>20Institute%20-%20Participant%20Resources/K-5%20Resources/Kindergarten/kindergarten_math-illustrated_practices_pacing_guide_%26_units_1-9-2.doc</w:t>
            </w:r>
          </w:p>
          <w:p w:rsidR="006B4549" w:rsidRPr="007F2571" w:rsidRDefault="006B4549" w:rsidP="006B4549">
            <w:pPr>
              <w:tabs>
                <w:tab w:val="right" w:pos="8408"/>
              </w:tabs>
              <w:rPr>
                <w:color w:val="FF0000"/>
                <w:sz w:val="6"/>
              </w:rPr>
            </w:pPr>
          </w:p>
          <w:p w:rsidR="004455D1" w:rsidRDefault="00A559A5" w:rsidP="006B4549">
            <w:pPr>
              <w:tabs>
                <w:tab w:val="right" w:pos="8408"/>
              </w:tabs>
              <w:rPr>
                <w:color w:val="FF0000"/>
              </w:rPr>
            </w:pPr>
            <w:hyperlink r:id="rId9" w:history="1">
              <w:r w:rsidR="005C18BF" w:rsidRPr="007D4C0E">
                <w:rPr>
                  <w:rStyle w:val="Hyperlink"/>
                </w:rPr>
                <w:t>https://www.K-5mathteachingresources.com</w:t>
              </w:r>
            </w:hyperlink>
          </w:p>
          <w:p w:rsidR="004455D1" w:rsidRDefault="004455D1" w:rsidP="006B4549">
            <w:pPr>
              <w:tabs>
                <w:tab w:val="right" w:pos="8408"/>
              </w:tabs>
              <w:rPr>
                <w:color w:val="FF0000"/>
              </w:rPr>
            </w:pPr>
            <w:r>
              <w:rPr>
                <w:color w:val="FF0000"/>
              </w:rPr>
              <w:t>Abcya.com</w:t>
            </w:r>
          </w:p>
          <w:p w:rsidR="004455D1" w:rsidRDefault="004455D1" w:rsidP="006B4549">
            <w:pPr>
              <w:tabs>
                <w:tab w:val="right" w:pos="8408"/>
              </w:tabs>
              <w:rPr>
                <w:color w:val="FF0000"/>
              </w:rPr>
            </w:pPr>
            <w:r>
              <w:rPr>
                <w:color w:val="FF0000"/>
              </w:rPr>
              <w:t>Illuminations.com</w:t>
            </w:r>
          </w:p>
          <w:p w:rsidR="004455D1" w:rsidRDefault="004455D1" w:rsidP="006B4549">
            <w:pPr>
              <w:tabs>
                <w:tab w:val="right" w:pos="8408"/>
              </w:tabs>
              <w:rPr>
                <w:color w:val="FF0000"/>
              </w:rPr>
            </w:pPr>
            <w:r>
              <w:rPr>
                <w:color w:val="FF0000"/>
              </w:rPr>
              <w:t>Starfall.com</w:t>
            </w:r>
          </w:p>
          <w:p w:rsidR="004455D1" w:rsidRDefault="004455D1" w:rsidP="006B4549">
            <w:pPr>
              <w:tabs>
                <w:tab w:val="right" w:pos="8408"/>
              </w:tabs>
              <w:rPr>
                <w:color w:val="FF0000"/>
              </w:rPr>
            </w:pPr>
            <w:r>
              <w:rPr>
                <w:color w:val="FF0000"/>
              </w:rPr>
              <w:t>Internet4.</w:t>
            </w:r>
            <w:r w:rsidR="00C562BA">
              <w:rPr>
                <w:color w:val="FF0000"/>
              </w:rPr>
              <w:t>classrooms.</w:t>
            </w:r>
            <w:r>
              <w:rPr>
                <w:color w:val="FF0000"/>
              </w:rPr>
              <w:t>com</w:t>
            </w:r>
          </w:p>
          <w:p w:rsidR="005C18BF" w:rsidRDefault="004455D1" w:rsidP="006B4549">
            <w:pPr>
              <w:tabs>
                <w:tab w:val="right" w:pos="8408"/>
              </w:tabs>
              <w:rPr>
                <w:color w:val="FF0000"/>
              </w:rPr>
            </w:pPr>
            <w:r>
              <w:rPr>
                <w:color w:val="FF0000"/>
              </w:rPr>
              <w:t>DiscoveryEd</w:t>
            </w:r>
            <w:r w:rsidR="008271FA">
              <w:rPr>
                <w:color w:val="FF0000"/>
              </w:rPr>
              <w:t>ucation</w:t>
            </w:r>
            <w:r>
              <w:rPr>
                <w:color w:val="FF0000"/>
              </w:rPr>
              <w:t>.com</w:t>
            </w:r>
          </w:p>
          <w:p w:rsidR="004455D1" w:rsidRDefault="004455D1" w:rsidP="006B4549">
            <w:pPr>
              <w:tabs>
                <w:tab w:val="right" w:pos="8408"/>
              </w:tabs>
              <w:rPr>
                <w:color w:val="FF0000"/>
              </w:rPr>
            </w:pPr>
            <w:r>
              <w:rPr>
                <w:color w:val="FF0000"/>
              </w:rPr>
              <w:t>PBS Kids.com</w:t>
            </w:r>
          </w:p>
          <w:p w:rsidR="005C18BF" w:rsidRDefault="004455D1" w:rsidP="006B4549">
            <w:pPr>
              <w:tabs>
                <w:tab w:val="right" w:pos="8408"/>
              </w:tabs>
              <w:rPr>
                <w:color w:val="FF0000"/>
              </w:rPr>
            </w:pPr>
            <w:proofErr w:type="gramStart"/>
            <w:r>
              <w:rPr>
                <w:color w:val="FF0000"/>
              </w:rPr>
              <w:t>ixl.com</w:t>
            </w:r>
            <w:proofErr w:type="gramEnd"/>
          </w:p>
          <w:p w:rsidR="00A829DF" w:rsidRDefault="00A829DF" w:rsidP="006B4549">
            <w:pPr>
              <w:tabs>
                <w:tab w:val="right" w:pos="8408"/>
              </w:tabs>
              <w:rPr>
                <w:color w:val="FF0000"/>
              </w:rPr>
            </w:pPr>
            <w:r>
              <w:rPr>
                <w:color w:val="FF0000"/>
              </w:rPr>
              <w:t>Smartexchange.com</w:t>
            </w:r>
          </w:p>
          <w:p w:rsidR="006B4549" w:rsidRPr="004D48DA" w:rsidRDefault="00A559A5" w:rsidP="006B4549">
            <w:pPr>
              <w:tabs>
                <w:tab w:val="right" w:pos="8408"/>
              </w:tabs>
              <w:rPr>
                <w:color w:val="FF0000"/>
              </w:rPr>
            </w:pPr>
            <w:hyperlink r:id="rId10" w:history="1">
              <w:r w:rsidR="00A829DF" w:rsidRPr="007D4C0E">
                <w:rPr>
                  <w:rStyle w:val="Hyperlink"/>
                </w:rPr>
                <w:t>www.ppst.com</w:t>
              </w:r>
            </w:hyperlink>
            <w:r w:rsidR="00A829DF">
              <w:rPr>
                <w:color w:val="FF0000"/>
              </w:rPr>
              <w:t xml:space="preserve">  (Pete’s </w:t>
            </w:r>
            <w:proofErr w:type="spellStart"/>
            <w:r w:rsidR="00A829DF">
              <w:rPr>
                <w:color w:val="FF0000"/>
              </w:rPr>
              <w:t>Powerpoint</w:t>
            </w:r>
            <w:proofErr w:type="spellEnd"/>
            <w:r w:rsidR="00A829DF">
              <w:rPr>
                <w:color w:val="FF0000"/>
              </w:rPr>
              <w:t xml:space="preserve"> Station)</w:t>
            </w:r>
          </w:p>
          <w:p w:rsidR="003816C2" w:rsidRPr="00C01DFE" w:rsidRDefault="003816C2" w:rsidP="003816C2">
            <w:pPr>
              <w:rPr>
                <w:sz w:val="6"/>
              </w:rPr>
            </w:pPr>
          </w:p>
        </w:tc>
      </w:tr>
    </w:tbl>
    <w:p w:rsidR="00584C4D" w:rsidRDefault="00584C4D" w:rsidP="00A42EF4">
      <w:pPr>
        <w:rPr>
          <w:sz w:val="2"/>
        </w:rPr>
      </w:pPr>
    </w:p>
    <w:p w:rsidR="00584C4D" w:rsidRDefault="00584C4D" w:rsidP="00A42EF4">
      <w:pPr>
        <w:rPr>
          <w:sz w:val="2"/>
        </w:rPr>
      </w:pPr>
    </w:p>
    <w:p w:rsidR="006C3082" w:rsidRPr="00584C4D" w:rsidRDefault="006C3082" w:rsidP="00A42EF4">
      <w:pPr>
        <w:rPr>
          <w:sz w:val="2"/>
        </w:rPr>
      </w:pPr>
    </w:p>
    <w:sectPr w:rsidR="006C3082" w:rsidRPr="00584C4D" w:rsidSect="00584C4D">
      <w:pgSz w:w="12240" w:h="15840"/>
      <w:pgMar w:top="475" w:right="576" w:bottom="432"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DB72D9"/>
    <w:multiLevelType w:val="hybridMultilevel"/>
    <w:tmpl w:val="82929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554C29"/>
    <w:multiLevelType w:val="hybridMultilevel"/>
    <w:tmpl w:val="F2A0A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553709"/>
    <w:multiLevelType w:val="hybridMultilevel"/>
    <w:tmpl w:val="A2BE0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A80F3C"/>
    <w:multiLevelType w:val="hybridMultilevel"/>
    <w:tmpl w:val="2BEC8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FC573D"/>
    <w:multiLevelType w:val="hybridMultilevel"/>
    <w:tmpl w:val="FF587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A38"/>
    <w:rsid w:val="00057CD3"/>
    <w:rsid w:val="00072C4B"/>
    <w:rsid w:val="000D2EC7"/>
    <w:rsid w:val="000E3713"/>
    <w:rsid w:val="001518D3"/>
    <w:rsid w:val="001A65B0"/>
    <w:rsid w:val="001B1454"/>
    <w:rsid w:val="001C0A0F"/>
    <w:rsid w:val="0025625C"/>
    <w:rsid w:val="00267411"/>
    <w:rsid w:val="002A521A"/>
    <w:rsid w:val="003760E1"/>
    <w:rsid w:val="003816C2"/>
    <w:rsid w:val="003F0E59"/>
    <w:rsid w:val="004455D1"/>
    <w:rsid w:val="0046421D"/>
    <w:rsid w:val="004D48DA"/>
    <w:rsid w:val="004D5E74"/>
    <w:rsid w:val="004F447B"/>
    <w:rsid w:val="005362D9"/>
    <w:rsid w:val="00584C4D"/>
    <w:rsid w:val="005C18BF"/>
    <w:rsid w:val="005D00EF"/>
    <w:rsid w:val="005F3796"/>
    <w:rsid w:val="006B4549"/>
    <w:rsid w:val="006C0ECD"/>
    <w:rsid w:val="006C3082"/>
    <w:rsid w:val="006F29C8"/>
    <w:rsid w:val="0073420E"/>
    <w:rsid w:val="00755031"/>
    <w:rsid w:val="00793918"/>
    <w:rsid w:val="007F2571"/>
    <w:rsid w:val="00817461"/>
    <w:rsid w:val="008223FC"/>
    <w:rsid w:val="008271FA"/>
    <w:rsid w:val="008B4DD8"/>
    <w:rsid w:val="008C199D"/>
    <w:rsid w:val="008E00AA"/>
    <w:rsid w:val="008F2B71"/>
    <w:rsid w:val="00900A5A"/>
    <w:rsid w:val="00933990"/>
    <w:rsid w:val="009D7A38"/>
    <w:rsid w:val="00A42EF4"/>
    <w:rsid w:val="00A50B34"/>
    <w:rsid w:val="00A559A5"/>
    <w:rsid w:val="00A775E5"/>
    <w:rsid w:val="00A77FC5"/>
    <w:rsid w:val="00A829DF"/>
    <w:rsid w:val="00AC692E"/>
    <w:rsid w:val="00B343A8"/>
    <w:rsid w:val="00BB72F7"/>
    <w:rsid w:val="00C01DFE"/>
    <w:rsid w:val="00C0788A"/>
    <w:rsid w:val="00C562BA"/>
    <w:rsid w:val="00C62D32"/>
    <w:rsid w:val="00C7150A"/>
    <w:rsid w:val="00C762D9"/>
    <w:rsid w:val="00C91AE1"/>
    <w:rsid w:val="00C9480D"/>
    <w:rsid w:val="00C97AA1"/>
    <w:rsid w:val="00CA5D0D"/>
    <w:rsid w:val="00CE6592"/>
    <w:rsid w:val="00CF6456"/>
    <w:rsid w:val="00DD7BA2"/>
    <w:rsid w:val="00DE2BC2"/>
    <w:rsid w:val="00E01F67"/>
    <w:rsid w:val="00E31B9D"/>
    <w:rsid w:val="00E61C19"/>
    <w:rsid w:val="00E67F88"/>
    <w:rsid w:val="00EC5577"/>
    <w:rsid w:val="00F568DC"/>
    <w:rsid w:val="00F7164F"/>
    <w:rsid w:val="00FB0409"/>
    <w:rsid w:val="00FE0A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0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A50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30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92E"/>
    <w:rPr>
      <w:rFonts w:ascii="Tahoma" w:hAnsi="Tahoma" w:cs="Tahoma"/>
      <w:sz w:val="16"/>
      <w:szCs w:val="16"/>
    </w:rPr>
  </w:style>
  <w:style w:type="paragraph" w:styleId="ListParagraph">
    <w:name w:val="List Paragraph"/>
    <w:basedOn w:val="Normal"/>
    <w:uiPriority w:val="34"/>
    <w:qFormat/>
    <w:rsid w:val="00DD7BA2"/>
    <w:pPr>
      <w:ind w:left="720"/>
      <w:contextualSpacing/>
    </w:pPr>
  </w:style>
  <w:style w:type="character" w:styleId="Hyperlink">
    <w:name w:val="Hyperlink"/>
    <w:basedOn w:val="DefaultParagraphFont"/>
    <w:rsid w:val="004D5E74"/>
    <w:rPr>
      <w:color w:val="0000FF" w:themeColor="hyperlink"/>
      <w:u w:val="single"/>
    </w:rPr>
  </w:style>
  <w:style w:type="character" w:styleId="FollowedHyperlink">
    <w:name w:val="FollowedHyperlink"/>
    <w:basedOn w:val="DefaultParagraphFont"/>
    <w:rsid w:val="004D5E7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A50B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30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692E"/>
    <w:rPr>
      <w:rFonts w:ascii="Tahoma" w:hAnsi="Tahoma" w:cs="Tahoma"/>
      <w:sz w:val="16"/>
      <w:szCs w:val="16"/>
    </w:rPr>
  </w:style>
  <w:style w:type="paragraph" w:styleId="ListParagraph">
    <w:name w:val="List Paragraph"/>
    <w:basedOn w:val="Normal"/>
    <w:uiPriority w:val="34"/>
    <w:qFormat/>
    <w:rsid w:val="00DD7BA2"/>
    <w:pPr>
      <w:ind w:left="720"/>
      <w:contextualSpacing/>
    </w:pPr>
  </w:style>
  <w:style w:type="character" w:styleId="Hyperlink">
    <w:name w:val="Hyperlink"/>
    <w:basedOn w:val="DefaultParagraphFont"/>
    <w:rsid w:val="004D5E74"/>
    <w:rPr>
      <w:color w:val="0000FF" w:themeColor="hyperlink"/>
      <w:u w:val="single"/>
    </w:rPr>
  </w:style>
  <w:style w:type="character" w:styleId="FollowedHyperlink">
    <w:name w:val="FollowedHyperlink"/>
    <w:basedOn w:val="DefaultParagraphFont"/>
    <w:rsid w:val="004D5E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s://www.georgiastandards.org/Common-Core/Common%20Core%20Frameworks/CCGPS_" TargetMode="External"/><Relationship Id="rId8" Type="http://schemas.openxmlformats.org/officeDocument/2006/relationships/hyperlink" Target="https://www.dropbox.com/sh/14prjy245l3sacz/1hGcRquZc2/" TargetMode="External"/><Relationship Id="rId9" Type="http://schemas.openxmlformats.org/officeDocument/2006/relationships/hyperlink" Target="https://www.K-5mathteachingresources.com" TargetMode="External"/><Relationship Id="rId10" Type="http://schemas.openxmlformats.org/officeDocument/2006/relationships/hyperlink" Target="http://www.pps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D8369-E8EC-864A-9F8B-0E9DFFB16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722</Words>
  <Characters>4119</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Rye</dc:creator>
  <cp:lastModifiedBy>Microsoft Office User</cp:lastModifiedBy>
  <cp:revision>2</cp:revision>
  <dcterms:created xsi:type="dcterms:W3CDTF">2012-06-25T19:08:00Z</dcterms:created>
  <dcterms:modified xsi:type="dcterms:W3CDTF">2012-06-25T19:08:00Z</dcterms:modified>
</cp:coreProperties>
</file>